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9"/>
        <w:gridCol w:w="5670"/>
      </w:tblGrid>
      <w:tr w:rsidR="002F31B1" w:rsidRPr="008D2AAB" w:rsidTr="00DC1DEF">
        <w:tc>
          <w:tcPr>
            <w:tcW w:w="4679" w:type="dxa"/>
            <w:tcBorders>
              <w:top w:val="nil"/>
              <w:left w:val="nil"/>
              <w:bottom w:val="nil"/>
              <w:right w:val="nil"/>
            </w:tcBorders>
          </w:tcPr>
          <w:p w:rsidR="002F31B1" w:rsidRPr="00093026" w:rsidRDefault="002F31B1" w:rsidP="00DC1DEF">
            <w:pPr>
              <w:pStyle w:val="Heading4"/>
              <w:spacing w:after="60"/>
              <w:rPr>
                <w:rFonts w:ascii="Times New Roman" w:hAnsi="Times New Roman"/>
                <w:b w:val="0"/>
                <w:bCs/>
                <w:color w:val="auto"/>
                <w:sz w:val="26"/>
                <w:lang w:val="es-ES"/>
              </w:rPr>
            </w:pPr>
            <w:r>
              <w:rPr>
                <w:rFonts w:ascii="Times New Roman" w:hAnsi="Times New Roman"/>
                <w:b w:val="0"/>
                <w:bCs/>
                <w:color w:val="auto"/>
                <w:sz w:val="26"/>
                <w:lang w:val="es-ES"/>
              </w:rPr>
              <w:t>BỆNH VIỆN NỘI TIẾT</w:t>
            </w:r>
            <w:r w:rsidRPr="00093026">
              <w:rPr>
                <w:rFonts w:ascii="Times New Roman" w:hAnsi="Times New Roman"/>
                <w:b w:val="0"/>
                <w:bCs/>
                <w:color w:val="auto"/>
                <w:sz w:val="26"/>
                <w:lang w:val="es-ES"/>
              </w:rPr>
              <w:t xml:space="preserve"> THANH HÓA</w:t>
            </w:r>
          </w:p>
          <w:p w:rsidR="002F31B1" w:rsidRPr="00DF4754" w:rsidRDefault="002F31B1" w:rsidP="00DC1DEF">
            <w:pPr>
              <w:pStyle w:val="Heading5"/>
              <w:spacing w:after="60" w:line="360" w:lineRule="auto"/>
              <w:ind w:right="-108" w:hanging="108"/>
              <w:rPr>
                <w:rFonts w:ascii="Times New Roman" w:hAnsi="Times New Roman"/>
                <w:sz w:val="28"/>
                <w:szCs w:val="28"/>
                <w:lang w:val="es-ES"/>
              </w:rPr>
            </w:pPr>
            <w:r>
              <w:rPr>
                <w:noProof/>
                <w:sz w:val="28"/>
                <w:szCs w:val="28"/>
              </w:rPr>
              <mc:AlternateContent>
                <mc:Choice Requires="wps">
                  <w:drawing>
                    <wp:anchor distT="0" distB="0" distL="114300" distR="114300" simplePos="0" relativeHeight="251659264" behindDoc="0" locked="0" layoutInCell="1" allowOverlap="1" wp14:anchorId="1FD19293" wp14:editId="45F0DE47">
                      <wp:simplePos x="0" y="0"/>
                      <wp:positionH relativeFrom="column">
                        <wp:posOffset>657225</wp:posOffset>
                      </wp:positionH>
                      <wp:positionV relativeFrom="paragraph">
                        <wp:posOffset>211455</wp:posOffset>
                      </wp:positionV>
                      <wp:extent cx="1483995" cy="0"/>
                      <wp:effectExtent l="6350" t="13970" r="508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A977" id="Straight Connector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6.65pt" to="168.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k9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BCNF&#10;eujR1lsi2s6jSisFCmqLwAlKDcYVkFCpjQ210qPamhdNvzukdNUR1fLI+O1kACULGcm7lLBxBu7b&#10;DV80gxiy9zrKdmxsHyBBEHSM3TndusOPHlE4zPLZw3w+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"/>
                  </w:pict>
                </mc:Fallback>
              </mc:AlternateContent>
            </w:r>
            <w:r w:rsidRPr="00DF4754">
              <w:rPr>
                <w:rFonts w:ascii="Times New Roman" w:hAnsi="Times New Roman"/>
                <w:sz w:val="28"/>
                <w:szCs w:val="28"/>
                <w:lang w:val="es-ES"/>
              </w:rPr>
              <w:t>HỘI ĐỒNG XÉT TUYỂN</w:t>
            </w:r>
          </w:p>
          <w:p w:rsidR="002F31B1" w:rsidRPr="00766002" w:rsidRDefault="002F31B1" w:rsidP="00DC1DEF">
            <w:pPr>
              <w:spacing w:line="360" w:lineRule="auto"/>
              <w:rPr>
                <w:lang w:val="es-ES"/>
              </w:rPr>
            </w:pPr>
            <w:r>
              <w:t xml:space="preserve">              </w:t>
            </w:r>
            <w:r w:rsidRPr="00766002">
              <w:t xml:space="preserve">Số:   </w:t>
            </w:r>
            <w:r w:rsidR="005F7C37">
              <w:t>159</w:t>
            </w:r>
            <w:r w:rsidRPr="00766002">
              <w:t xml:space="preserve">   </w:t>
            </w:r>
            <w:r>
              <w:t xml:space="preserve"> /TB</w:t>
            </w:r>
            <w:r w:rsidRPr="00766002">
              <w:t>-</w:t>
            </w:r>
            <w:r>
              <w:t>HĐXT</w:t>
            </w:r>
          </w:p>
        </w:tc>
        <w:tc>
          <w:tcPr>
            <w:tcW w:w="5670" w:type="dxa"/>
            <w:tcBorders>
              <w:top w:val="nil"/>
              <w:left w:val="nil"/>
              <w:bottom w:val="nil"/>
              <w:right w:val="nil"/>
            </w:tcBorders>
          </w:tcPr>
          <w:p w:rsidR="002F31B1" w:rsidRPr="008D2AAB" w:rsidRDefault="002F31B1" w:rsidP="00DC1DEF">
            <w:pPr>
              <w:ind w:hanging="108"/>
              <w:jc w:val="center"/>
              <w:rPr>
                <w:b/>
                <w:bCs/>
                <w:sz w:val="26"/>
                <w:szCs w:val="26"/>
                <w:lang w:val="es-ES"/>
              </w:rPr>
            </w:pPr>
            <w:r w:rsidRPr="008D2AAB">
              <w:rPr>
                <w:b/>
                <w:bCs/>
                <w:sz w:val="26"/>
                <w:szCs w:val="26"/>
                <w:lang w:val="es-ES"/>
              </w:rPr>
              <w:t>CỘNG HÒA XÃ HỘI CHỦ NGHĨA VIỆT NAM</w:t>
            </w:r>
          </w:p>
          <w:p w:rsidR="002F31B1" w:rsidRPr="008D2AAB" w:rsidRDefault="002F31B1" w:rsidP="00DC1DEF">
            <w:pPr>
              <w:spacing w:line="360" w:lineRule="auto"/>
              <w:jc w:val="center"/>
              <w:rPr>
                <w:b/>
                <w:bCs/>
                <w:lang w:val="es-ES"/>
              </w:rPr>
            </w:pPr>
            <w:r>
              <w:rPr>
                <w:noProof/>
                <w:sz w:val="24"/>
                <w:szCs w:val="24"/>
              </w:rPr>
              <mc:AlternateContent>
                <mc:Choice Requires="wps">
                  <w:drawing>
                    <wp:anchor distT="0" distB="0" distL="114300" distR="114300" simplePos="0" relativeHeight="251660288" behindDoc="0" locked="0" layoutInCell="1" allowOverlap="1" wp14:anchorId="448C3192" wp14:editId="51567778">
                      <wp:simplePos x="0" y="0"/>
                      <wp:positionH relativeFrom="column">
                        <wp:posOffset>694055</wp:posOffset>
                      </wp:positionH>
                      <wp:positionV relativeFrom="paragraph">
                        <wp:posOffset>202565</wp:posOffset>
                      </wp:positionV>
                      <wp:extent cx="2057400" cy="0"/>
                      <wp:effectExtent l="13970" t="5080" r="5080" b="1397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5B2C" id="Straight Connector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5.95pt" to="216.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n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dPqUp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"/>
                  </w:pict>
                </mc:Fallback>
              </mc:AlternateContent>
            </w:r>
            <w:r w:rsidRPr="008D2AAB">
              <w:rPr>
                <w:b/>
                <w:bCs/>
                <w:lang w:val="es-ES"/>
              </w:rPr>
              <w:t>Độc lập - Tự do - Hạnh phúc</w:t>
            </w:r>
          </w:p>
          <w:p w:rsidR="002F31B1" w:rsidRPr="00D406C4" w:rsidRDefault="002F31B1" w:rsidP="005F7C37">
            <w:pPr>
              <w:spacing w:line="360" w:lineRule="auto"/>
              <w:rPr>
                <w:i/>
                <w:lang w:val="es-ES"/>
              </w:rPr>
            </w:pPr>
            <w:r>
              <w:rPr>
                <w:i/>
                <w:lang w:val="es-ES"/>
              </w:rPr>
              <w:t xml:space="preserve">          </w:t>
            </w:r>
            <w:r w:rsidRPr="00D406C4">
              <w:rPr>
                <w:i/>
                <w:lang w:val="es-ES"/>
              </w:rPr>
              <w:t xml:space="preserve">Thanh Hóa, ngày </w:t>
            </w:r>
            <w:r w:rsidR="005F7C37">
              <w:rPr>
                <w:i/>
                <w:lang w:val="es-ES"/>
              </w:rPr>
              <w:t>25  tháng 10</w:t>
            </w:r>
            <w:bookmarkStart w:id="0" w:name="_GoBack"/>
            <w:bookmarkEnd w:id="0"/>
            <w:r w:rsidRPr="00D406C4">
              <w:rPr>
                <w:i/>
                <w:lang w:val="es-ES"/>
              </w:rPr>
              <w:t xml:space="preserve">   năm 2019</w:t>
            </w:r>
          </w:p>
        </w:tc>
      </w:tr>
    </w:tbl>
    <w:p w:rsidR="002F31B1" w:rsidRPr="00996416" w:rsidRDefault="002F31B1" w:rsidP="002F31B1">
      <w:pPr>
        <w:spacing w:line="360" w:lineRule="auto"/>
        <w:jc w:val="both"/>
        <w:rPr>
          <w:sz w:val="24"/>
          <w:szCs w:val="24"/>
          <w:lang w:val="vi-VN"/>
        </w:rPr>
      </w:pPr>
    </w:p>
    <w:p w:rsidR="002F31B1" w:rsidRPr="00DF4754" w:rsidRDefault="002F31B1" w:rsidP="002F31B1">
      <w:pPr>
        <w:spacing w:line="360" w:lineRule="exact"/>
        <w:jc w:val="center"/>
        <w:rPr>
          <w:b/>
          <w:bCs/>
        </w:rPr>
      </w:pPr>
      <w:r>
        <w:rPr>
          <w:b/>
          <w:bCs/>
        </w:rPr>
        <w:t>THÔNG BÁO</w:t>
      </w:r>
    </w:p>
    <w:p w:rsidR="002F31B1" w:rsidRDefault="002F31B1" w:rsidP="002F31B1">
      <w:pPr>
        <w:spacing w:line="360" w:lineRule="exact"/>
        <w:jc w:val="center"/>
        <w:rPr>
          <w:b/>
          <w:bCs/>
        </w:rPr>
      </w:pPr>
      <w:r>
        <w:rPr>
          <w:b/>
          <w:bCs/>
        </w:rPr>
        <w:t xml:space="preserve">Nội dung ôn tập kỳ xét tuyển viên chức </w:t>
      </w:r>
    </w:p>
    <w:p w:rsidR="002F31B1" w:rsidRPr="00DF4754" w:rsidRDefault="002F31B1" w:rsidP="002F31B1">
      <w:pPr>
        <w:spacing w:line="360" w:lineRule="exact"/>
        <w:jc w:val="center"/>
        <w:rPr>
          <w:b/>
          <w:bCs/>
        </w:rPr>
      </w:pPr>
      <w:r>
        <w:rPr>
          <w:b/>
          <w:bCs/>
        </w:rPr>
        <w:t>Bệnh viện Nội tiết tỉnh Thanh Hóa</w:t>
      </w:r>
    </w:p>
    <w:p w:rsidR="002F31B1" w:rsidRDefault="002F31B1" w:rsidP="002F31B1">
      <w:pPr>
        <w:spacing w:line="276" w:lineRule="auto"/>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7D3210BB" wp14:editId="04B8C37C">
                <wp:simplePos x="0" y="0"/>
                <wp:positionH relativeFrom="column">
                  <wp:posOffset>1950085</wp:posOffset>
                </wp:positionH>
                <wp:positionV relativeFrom="paragraph">
                  <wp:posOffset>43815</wp:posOffset>
                </wp:positionV>
                <wp:extent cx="2143125" cy="0"/>
                <wp:effectExtent l="13970" t="8255" r="5080" b="107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CF2D7" id="_x0000_t32" coordsize="21600,21600" o:spt="32" o:oned="t" path="m,l21600,21600e" filled="f">
                <v:path arrowok="t" fillok="f" o:connecttype="none"/>
                <o:lock v:ext="edit" shapetype="t"/>
              </v:shapetype>
              <v:shape id="Straight Arrow Connector 70" o:spid="_x0000_s1026" type="#_x0000_t32" style="position:absolute;margin-left:153.55pt;margin-top:3.45pt;width:1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IE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"/>
            </w:pict>
          </mc:Fallback>
        </mc:AlternateContent>
      </w:r>
    </w:p>
    <w:p w:rsidR="002F31B1" w:rsidRDefault="002F31B1" w:rsidP="002F31B1">
      <w:pPr>
        <w:jc w:val="both"/>
        <w:rPr>
          <w:color w:val="000000"/>
          <w:lang w:val="nl-NL"/>
        </w:rPr>
      </w:pPr>
      <w:r>
        <w:rPr>
          <w:sz w:val="26"/>
          <w:szCs w:val="26"/>
        </w:rPr>
        <w:tab/>
      </w:r>
      <w:r w:rsidRPr="00DF4754">
        <w:t xml:space="preserve">Thực hiện </w:t>
      </w:r>
      <w:r>
        <w:t>Phương án số 126/PA-BVNT ngày 05/9/2019 của Bệnh viện Nội tiết tỉnh Thanh Hóa về việc tuyển dụng viên chức năm 2019;</w:t>
      </w:r>
      <w:r>
        <w:rPr>
          <w:lang w:val="nl-NL"/>
        </w:rPr>
        <w:t xml:space="preserve"> Quyết định số 141/QĐ-BVNT ngày 22/10/2019 của Giám đốc</w:t>
      </w:r>
      <w:r>
        <w:rPr>
          <w:color w:val="000000"/>
          <w:lang w:val="nl-NL"/>
        </w:rPr>
        <w:t xml:space="preserve"> Bệnh viện Nội tiết tỉnh Thanh Hóa về việc thành lập Hội đồng xét tuyển viên chức năm 2019;</w:t>
      </w:r>
    </w:p>
    <w:p w:rsidR="002F31B1" w:rsidRDefault="002F31B1" w:rsidP="002F31B1">
      <w:pPr>
        <w:jc w:val="both"/>
      </w:pPr>
      <w:r>
        <w:rPr>
          <w:color w:val="000000"/>
          <w:lang w:val="nl-NL"/>
        </w:rPr>
        <w:tab/>
        <w:t xml:space="preserve">Hội đồng xét tuyển viên chức </w:t>
      </w:r>
      <w:r>
        <w:t>Bệnh viện Nội tiết tỉnh Thanh Hóa thông báo nội dung ôn tập xét tuyển viên chức, cụ thể như sau:</w:t>
      </w:r>
    </w:p>
    <w:p w:rsidR="002F31B1" w:rsidRPr="00037C13" w:rsidRDefault="002F31B1" w:rsidP="002F31B1">
      <w:pPr>
        <w:ind w:firstLine="720"/>
        <w:jc w:val="both"/>
        <w:rPr>
          <w:b/>
        </w:rPr>
      </w:pPr>
      <w:r w:rsidRPr="00037C13">
        <w:rPr>
          <w:b/>
        </w:rPr>
        <w:t>1. Hình thức kiểm tra, sát hạch: Phỏng vấn</w:t>
      </w:r>
    </w:p>
    <w:p w:rsidR="002F31B1" w:rsidRDefault="002F31B1" w:rsidP="002F31B1">
      <w:pPr>
        <w:ind w:firstLine="720"/>
        <w:jc w:val="both"/>
      </w:pPr>
      <w:r w:rsidRPr="00037C13">
        <w:rPr>
          <w:b/>
        </w:rPr>
        <w:t xml:space="preserve">2. Bố cục đề phỏng vấn: </w:t>
      </w:r>
      <w:r>
        <w:t>Gồm 04 câu, trong đó:</w:t>
      </w:r>
    </w:p>
    <w:p w:rsidR="002F31B1" w:rsidRDefault="002F31B1" w:rsidP="002F31B1">
      <w:pPr>
        <w:ind w:firstLine="720"/>
        <w:jc w:val="both"/>
      </w:pPr>
      <w:r>
        <w:t xml:space="preserve">- Câu 1: Kiến thức </w:t>
      </w:r>
      <w:proofErr w:type="gramStart"/>
      <w:r>
        <w:t>chung</w:t>
      </w:r>
      <w:proofErr w:type="gramEnd"/>
      <w:r>
        <w:t xml:space="preserve"> cho tất cả các thí sinh (30 điểm).</w:t>
      </w:r>
    </w:p>
    <w:p w:rsidR="002F31B1" w:rsidRDefault="002F31B1" w:rsidP="002F31B1">
      <w:pPr>
        <w:jc w:val="both"/>
      </w:pPr>
      <w:r>
        <w:tab/>
        <w:t xml:space="preserve">- Câu 2: Kiến thức </w:t>
      </w:r>
      <w:proofErr w:type="gramStart"/>
      <w:r>
        <w:t>chung</w:t>
      </w:r>
      <w:proofErr w:type="gramEnd"/>
      <w:r>
        <w:t xml:space="preserve"> tất cả thí sinh về chuyên ngành (30 điểm).</w:t>
      </w:r>
    </w:p>
    <w:p w:rsidR="002F31B1" w:rsidRDefault="002F31B1" w:rsidP="002F31B1">
      <w:pPr>
        <w:jc w:val="both"/>
      </w:pPr>
      <w:r>
        <w:tab/>
        <w:t xml:space="preserve">- Câu 3: Kiến thức </w:t>
      </w:r>
      <w:proofErr w:type="gramStart"/>
      <w:r>
        <w:t>chung</w:t>
      </w:r>
      <w:proofErr w:type="gramEnd"/>
      <w:r>
        <w:t xml:space="preserve"> về vị trí việc làm có liên quan (30 điểm).</w:t>
      </w:r>
    </w:p>
    <w:p w:rsidR="002F31B1" w:rsidRDefault="002F31B1" w:rsidP="002F31B1">
      <w:pPr>
        <w:jc w:val="both"/>
      </w:pPr>
      <w:r>
        <w:tab/>
        <w:t>- Câu 4: Câu hỏi mở Giám khảo tự đặt câu hỏi (10 điểm).</w:t>
      </w:r>
    </w:p>
    <w:p w:rsidR="002F31B1" w:rsidRDefault="002F31B1" w:rsidP="002F31B1">
      <w:pPr>
        <w:jc w:val="both"/>
        <w:rPr>
          <w:b/>
        </w:rPr>
      </w:pPr>
      <w:r>
        <w:tab/>
      </w:r>
      <w:r>
        <w:rPr>
          <w:b/>
        </w:rPr>
        <w:t>3. Nội dung ôn tập</w:t>
      </w:r>
    </w:p>
    <w:p w:rsidR="002F31B1" w:rsidRDefault="002F31B1" w:rsidP="002F31B1">
      <w:pPr>
        <w:jc w:val="both"/>
        <w:rPr>
          <w:b/>
        </w:rPr>
      </w:pPr>
      <w:r>
        <w:rPr>
          <w:b/>
        </w:rPr>
        <w:tab/>
        <w:t xml:space="preserve"> I. Nội dung, tài liệu </w:t>
      </w:r>
      <w:proofErr w:type="gramStart"/>
      <w:r>
        <w:rPr>
          <w:b/>
        </w:rPr>
        <w:t>chung</w:t>
      </w:r>
      <w:proofErr w:type="gramEnd"/>
      <w:r>
        <w:rPr>
          <w:b/>
        </w:rPr>
        <w:t xml:space="preserve"> cho tất cả thí sinh:</w:t>
      </w:r>
    </w:p>
    <w:p w:rsidR="002F31B1" w:rsidRDefault="002F31B1" w:rsidP="002F31B1">
      <w:pPr>
        <w:jc w:val="both"/>
      </w:pPr>
      <w:r>
        <w:rPr>
          <w:b/>
        </w:rPr>
        <w:tab/>
      </w:r>
      <w:proofErr w:type="gramStart"/>
      <w:r>
        <w:t>1.Chương</w:t>
      </w:r>
      <w:proofErr w:type="gramEnd"/>
      <w:r>
        <w:t xml:space="preserve"> II,Chương III,Chương IV Luật viên chức số 58/2010/QH12 ngày 15/11/2010;</w:t>
      </w:r>
    </w:p>
    <w:p w:rsidR="002F31B1" w:rsidRDefault="002F31B1" w:rsidP="002F31B1">
      <w:pPr>
        <w:spacing w:before="80"/>
        <w:ind w:firstLine="720"/>
        <w:jc w:val="both"/>
        <w:rPr>
          <w:lang w:val="nl-NL"/>
        </w:rPr>
      </w:pPr>
      <w:r>
        <w:t xml:space="preserve">2. Nghị định số 29/2012/NĐ-CP ngày 12/4/2012 của Chính phủ </w:t>
      </w:r>
      <w:r w:rsidRPr="004915E6">
        <w:rPr>
          <w:lang w:val="nl-NL"/>
        </w:rPr>
        <w:t xml:space="preserve">về tuyển dụng, sử dụng và quản lý viên chức; </w:t>
      </w:r>
      <w:r>
        <w:rPr>
          <w:lang w:val="nl-NL"/>
        </w:rPr>
        <w:t xml:space="preserve">Điều 2, điều 3 </w:t>
      </w:r>
      <w:r w:rsidRPr="004915E6">
        <w:rPr>
          <w:lang w:val="nl-NL"/>
        </w:rPr>
        <w:t>Nghị định số 161/2018/NĐ-CP ngày 29/11/2018 của Chính phủ về sửa đổi, bổ sung</w:t>
      </w:r>
      <w:r w:rsidRPr="004915E6">
        <w:rPr>
          <w:bCs/>
          <w:lang w:val="nl-NL"/>
        </w:rPr>
        <w:t xml:space="preserve">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Pr>
          <w:lang w:val="nl-NL"/>
        </w:rPr>
        <w:t>.</w:t>
      </w:r>
    </w:p>
    <w:p w:rsidR="002F31B1" w:rsidRDefault="002F31B1" w:rsidP="002F31B1">
      <w:pPr>
        <w:spacing w:before="80"/>
        <w:ind w:firstLine="720"/>
        <w:jc w:val="both"/>
        <w:rPr>
          <w:lang w:val="nl-NL"/>
        </w:rPr>
      </w:pPr>
      <w:r>
        <w:rPr>
          <w:lang w:val="nl-NL"/>
        </w:rPr>
        <w:t>3. Nghị định số 27/2012/NĐ-CP ngày 6/4/2012 của Chính phủ về quy định về xử lý kỷ luật viên chức và trách nhiệm bồi thường, hoàn trả của viên chức.</w:t>
      </w:r>
    </w:p>
    <w:p w:rsidR="002F31B1" w:rsidRDefault="002F31B1" w:rsidP="002F31B1">
      <w:pPr>
        <w:spacing w:before="80"/>
        <w:ind w:firstLine="720"/>
        <w:jc w:val="both"/>
        <w:rPr>
          <w:lang w:val="nl-NL"/>
        </w:rPr>
      </w:pPr>
      <w:r>
        <w:rPr>
          <w:lang w:val="nl-NL"/>
        </w:rPr>
        <w:t>- Điều 2, điều 3 Thông tư số 03/2019/TT-BNV ngày 14/5/2019 của Bộ Nội v</w:t>
      </w:r>
      <w:r w:rsidRPr="004915E6">
        <w:rPr>
          <w:lang w:val="nl-NL"/>
        </w:rPr>
        <w:t xml:space="preserve">ụ </w:t>
      </w:r>
      <w:r>
        <w:rPr>
          <w:lang w:val="nl-NL"/>
        </w:rPr>
        <w:t>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2F31B1" w:rsidRDefault="002F31B1" w:rsidP="002F31B1">
      <w:pPr>
        <w:spacing w:before="80"/>
        <w:ind w:firstLine="720"/>
        <w:jc w:val="both"/>
        <w:rPr>
          <w:lang w:val="nl-NL"/>
        </w:rPr>
      </w:pPr>
      <w:r>
        <w:rPr>
          <w:lang w:val="nl-NL"/>
        </w:rPr>
        <w:t>4. Thông tư số 07/2014/TT-BYT ngày 25/2/2014 của Bộ Y tế Quy định về quy tắc ứng xử của công chức, viên chức, người lao động làm việc tại cơ sở y tế.</w:t>
      </w:r>
    </w:p>
    <w:p w:rsidR="002F31B1" w:rsidRPr="00642971" w:rsidRDefault="002F31B1" w:rsidP="002F31B1">
      <w:pPr>
        <w:spacing w:before="80"/>
        <w:jc w:val="center"/>
        <w:rPr>
          <w:i/>
          <w:lang w:val="nl-NL"/>
        </w:rPr>
      </w:pPr>
      <w:r w:rsidRPr="00642971">
        <w:rPr>
          <w:i/>
          <w:lang w:val="nl-NL"/>
        </w:rPr>
        <w:t>(Thí sinh chỉ ôn tập những nội dung liên quan đến viên chức)</w:t>
      </w:r>
    </w:p>
    <w:p w:rsidR="002F31B1" w:rsidRDefault="002F31B1" w:rsidP="002F31B1">
      <w:pPr>
        <w:spacing w:before="80"/>
        <w:ind w:firstLine="720"/>
        <w:jc w:val="both"/>
        <w:rPr>
          <w:b/>
        </w:rPr>
      </w:pPr>
      <w:r>
        <w:rPr>
          <w:b/>
          <w:lang w:val="nl-NL"/>
        </w:rPr>
        <w:lastRenderedPageBreak/>
        <w:t>II. Chuyên Ngành</w:t>
      </w:r>
      <w:r>
        <w:rPr>
          <w:b/>
        </w:rPr>
        <w:t>:</w:t>
      </w:r>
    </w:p>
    <w:p w:rsidR="002F31B1" w:rsidRPr="004966F6" w:rsidRDefault="002F31B1" w:rsidP="002F31B1">
      <w:pPr>
        <w:pStyle w:val="ListParagraph"/>
        <w:numPr>
          <w:ilvl w:val="0"/>
          <w:numId w:val="1"/>
        </w:numPr>
        <w:spacing w:before="80"/>
        <w:jc w:val="both"/>
        <w:rPr>
          <w:b/>
        </w:rPr>
      </w:pPr>
      <w:r w:rsidRPr="004966F6">
        <w:rPr>
          <w:b/>
        </w:rPr>
        <w:t>Chuyên Ngành Y:</w:t>
      </w:r>
    </w:p>
    <w:p w:rsidR="002F31B1" w:rsidRPr="004966F6" w:rsidRDefault="002F31B1" w:rsidP="002F31B1">
      <w:pPr>
        <w:spacing w:before="80"/>
        <w:ind w:left="720"/>
        <w:jc w:val="both"/>
        <w:rPr>
          <w:b/>
        </w:rPr>
      </w:pPr>
      <w:r>
        <w:rPr>
          <w:b/>
        </w:rPr>
        <w:t xml:space="preserve"> Tài liệu dùng </w:t>
      </w:r>
      <w:proofErr w:type="gramStart"/>
      <w:r>
        <w:rPr>
          <w:b/>
        </w:rPr>
        <w:t>chung</w:t>
      </w:r>
      <w:proofErr w:type="gramEnd"/>
      <w:r>
        <w:rPr>
          <w:b/>
        </w:rPr>
        <w:t xml:space="preserve"> cho tất cả chuyên ngành Y (Bác sĩ, Điều dưỡng, Kỹ thuật viên Y)</w:t>
      </w:r>
    </w:p>
    <w:p w:rsidR="002F31B1" w:rsidRDefault="002F31B1" w:rsidP="002F31B1">
      <w:pPr>
        <w:spacing w:before="80"/>
        <w:ind w:firstLine="720"/>
        <w:jc w:val="both"/>
      </w:pPr>
      <w:r>
        <w:t>- Luật Khám bệnh, chữa bệnh số 40/2009/QH12 ngày 23/11/2009.</w:t>
      </w:r>
    </w:p>
    <w:p w:rsidR="002F31B1" w:rsidRDefault="002F31B1" w:rsidP="002F31B1">
      <w:pPr>
        <w:spacing w:before="80"/>
        <w:ind w:firstLine="720"/>
        <w:jc w:val="both"/>
      </w:pPr>
      <w:r>
        <w:t>- Luật Bảo hiểm Y tế số 25/2008/QH 12 ngày 14/11/2008;</w:t>
      </w:r>
    </w:p>
    <w:p w:rsidR="002F31B1" w:rsidRDefault="002F31B1" w:rsidP="002F31B1">
      <w:pPr>
        <w:spacing w:before="80"/>
        <w:ind w:firstLine="720"/>
        <w:jc w:val="both"/>
      </w:pPr>
      <w:r>
        <w:t>- Luật sưa đổi bổ sung một số điều của Luật Bảo hiểm y tế số 46/2014/QH 13 ngày 13/6/2014.</w:t>
      </w:r>
    </w:p>
    <w:p w:rsidR="002F31B1" w:rsidRDefault="002F31B1" w:rsidP="002F31B1">
      <w:pPr>
        <w:spacing w:before="80"/>
        <w:ind w:firstLine="720"/>
        <w:jc w:val="both"/>
        <w:rPr>
          <w:b/>
        </w:rPr>
      </w:pPr>
      <w:r w:rsidRPr="00B560E2">
        <w:rPr>
          <w:b/>
        </w:rPr>
        <w:t>1.1. Bác sĩ:</w:t>
      </w:r>
    </w:p>
    <w:p w:rsidR="002F31B1" w:rsidRDefault="002F31B1" w:rsidP="002F31B1">
      <w:pPr>
        <w:spacing w:before="80"/>
        <w:ind w:firstLine="720"/>
        <w:jc w:val="both"/>
      </w:pPr>
      <w:r w:rsidRPr="00B560E2">
        <w:t>- Thông tư 14/2014</w:t>
      </w:r>
      <w:r>
        <w:t>/TT-BYT ngày 14/04/2014 của Bộ Y tế quy định về việc chuyển tuyến giữa các cơ sở khám, chữa bệnh.</w:t>
      </w:r>
    </w:p>
    <w:p w:rsidR="002F31B1" w:rsidRDefault="002F31B1" w:rsidP="002F31B1">
      <w:pPr>
        <w:spacing w:before="80"/>
        <w:ind w:firstLine="720"/>
        <w:jc w:val="both"/>
      </w:pPr>
      <w:r>
        <w:t>- Thông tư 37/2014/TT-BYT ngày 17/11/2014 của Bộ Y tế hướng dẫn đăng ký khám bệnh, chữa bệnh ban đầu và chuyển tuyến khám, chữa bệnh bảo hiểm y tế.</w:t>
      </w:r>
    </w:p>
    <w:p w:rsidR="002F31B1" w:rsidRPr="00B560E2" w:rsidRDefault="002F31B1" w:rsidP="002F31B1">
      <w:pPr>
        <w:spacing w:before="80"/>
        <w:ind w:firstLine="720"/>
        <w:jc w:val="both"/>
        <w:rPr>
          <w:lang w:val="nl-NL"/>
        </w:rPr>
      </w:pPr>
      <w:r>
        <w:t>- Thông tư liên tịch số 10/2015/TTLT-BYT-BNV ngày 27/5/2015 của Bộ Y tế, Bộ Nội vụ quy định mã số, tiêu chuẩn chức danh ngề nghiệp bác sĩ, bác sĩ y học dự phòng, y sĩ.</w:t>
      </w:r>
    </w:p>
    <w:p w:rsidR="002F31B1" w:rsidRPr="00E473D5" w:rsidRDefault="002F31B1" w:rsidP="002F31B1">
      <w:pPr>
        <w:pStyle w:val="ListParagraph"/>
        <w:ind w:left="0"/>
        <w:jc w:val="both"/>
        <w:rPr>
          <w:b/>
        </w:rPr>
      </w:pPr>
      <w:r>
        <w:rPr>
          <w:iCs/>
        </w:rPr>
        <w:tab/>
      </w:r>
      <w:r w:rsidRPr="00E92373">
        <w:rPr>
          <w:b/>
        </w:rPr>
        <w:t xml:space="preserve">Nội dung, tài liệu cho thí sinh dự thi </w:t>
      </w:r>
      <w:r>
        <w:rPr>
          <w:b/>
        </w:rPr>
        <w:t>Điều dưỡng</w:t>
      </w:r>
      <w:r w:rsidRPr="00E92373">
        <w:rPr>
          <w:b/>
        </w:rPr>
        <w:t xml:space="preserve"> Hạng III</w:t>
      </w:r>
      <w:r>
        <w:rPr>
          <w:b/>
        </w:rPr>
        <w:t>, IV</w:t>
      </w:r>
      <w:r w:rsidRPr="00E92373">
        <w:rPr>
          <w:b/>
        </w:rPr>
        <w:t>:</w:t>
      </w:r>
    </w:p>
    <w:p w:rsidR="002F31B1" w:rsidRDefault="002F31B1" w:rsidP="002F31B1">
      <w:pPr>
        <w:spacing w:before="80"/>
        <w:ind w:firstLine="720"/>
        <w:jc w:val="both"/>
      </w:pPr>
      <w:r>
        <w:t>- Luật Khám bệnh, chữa bệnh số 40/2009/QH12 ngày 23/11/2009.</w:t>
      </w:r>
    </w:p>
    <w:p w:rsidR="002F31B1" w:rsidRDefault="002F31B1" w:rsidP="002F31B1">
      <w:pPr>
        <w:spacing w:before="80"/>
        <w:ind w:firstLine="720"/>
        <w:jc w:val="both"/>
        <w:rPr>
          <w:lang w:val="nl-NL"/>
        </w:rPr>
      </w:pPr>
      <w:r>
        <w:t xml:space="preserve">- </w:t>
      </w:r>
      <w:r>
        <w:rPr>
          <w:lang w:val="nl-NL"/>
        </w:rPr>
        <w:t>Thông tư số 07/2014/TT-BYT ngày 25/2/2014 của Bộ Y tế Quy định về quy tắc ứng xử của công chức, viên chức, người lao động làm việc tại cơ sở y tế.</w:t>
      </w:r>
    </w:p>
    <w:p w:rsidR="002F31B1" w:rsidRPr="00584A76" w:rsidRDefault="002F31B1" w:rsidP="002F31B1">
      <w:pPr>
        <w:pStyle w:val="ListParagraph"/>
        <w:ind w:left="0"/>
        <w:jc w:val="both"/>
        <w:rPr>
          <w:i/>
          <w:color w:val="000000"/>
        </w:rPr>
      </w:pPr>
      <w:r>
        <w:rPr>
          <w:color w:val="000000"/>
        </w:rPr>
        <w:tab/>
        <w:t xml:space="preserve">- </w:t>
      </w:r>
      <w:r w:rsidRPr="00756603">
        <w:t xml:space="preserve">Thông tư số 07/2011/TT-BYT ngày 26/01/2011 của Bộ trưởng Bộ Y tế về việc </w:t>
      </w:r>
      <w:r w:rsidRPr="00584A76">
        <w:rPr>
          <w:i/>
        </w:rPr>
        <w:t>“</w:t>
      </w:r>
      <w:r w:rsidRPr="00584A76">
        <w:rPr>
          <w:i/>
          <w:color w:val="000000"/>
        </w:rPr>
        <w:t>hướng dẫn công tác điều dưỡng về chăm sóc người bệnh trong bệnh viện.</w:t>
      </w:r>
    </w:p>
    <w:p w:rsidR="002F31B1" w:rsidRPr="00584A76" w:rsidRDefault="002F31B1" w:rsidP="002F31B1">
      <w:pPr>
        <w:pStyle w:val="ListParagraph"/>
        <w:ind w:left="0"/>
        <w:jc w:val="both"/>
        <w:rPr>
          <w:iCs/>
          <w:color w:val="000000"/>
        </w:rPr>
      </w:pPr>
      <w:r>
        <w:rPr>
          <w:color w:val="000000"/>
        </w:rPr>
        <w:tab/>
        <w:t>-</w:t>
      </w:r>
      <w:r w:rsidRPr="00584A76">
        <w:rPr>
          <w:color w:val="000000"/>
        </w:rPr>
        <w:t xml:space="preserve"> </w:t>
      </w:r>
      <w:r w:rsidRPr="00584A76">
        <w:rPr>
          <w:iCs/>
          <w:color w:val="000000"/>
        </w:rPr>
        <w:t xml:space="preserve">Thông tư số 51/2017/TT-BYT ngày 29 tháng 12 năm 2017 của Bộ trưởng Bộ Y tế về việc </w:t>
      </w:r>
      <w:r w:rsidRPr="00584A76">
        <w:rPr>
          <w:i/>
          <w:iCs/>
          <w:color w:val="000000"/>
        </w:rPr>
        <w:t>“hướng dẫn phòng, chẩn đoán và xử trí phản vệ”</w:t>
      </w:r>
      <w:r w:rsidRPr="00584A76">
        <w:rPr>
          <w:iCs/>
          <w:color w:val="000000"/>
        </w:rPr>
        <w:t>.</w:t>
      </w:r>
    </w:p>
    <w:p w:rsidR="002F31B1" w:rsidRPr="00584A76" w:rsidRDefault="002F31B1" w:rsidP="002F31B1">
      <w:pPr>
        <w:pStyle w:val="ListParagraph"/>
        <w:shd w:val="clear" w:color="auto" w:fill="FFFFFF"/>
        <w:spacing w:before="120" w:after="120"/>
        <w:ind w:left="0"/>
        <w:jc w:val="both"/>
        <w:rPr>
          <w:bCs/>
          <w:color w:val="000000"/>
        </w:rPr>
      </w:pPr>
      <w:r>
        <w:rPr>
          <w:iCs/>
          <w:color w:val="000000"/>
        </w:rPr>
        <w:tab/>
        <w:t>-</w:t>
      </w:r>
      <w:r w:rsidRPr="00584A76">
        <w:rPr>
          <w:iCs/>
          <w:color w:val="000000"/>
        </w:rPr>
        <w:t xml:space="preserve"> </w:t>
      </w:r>
      <w:r w:rsidRPr="00584A76">
        <w:rPr>
          <w:bCs/>
          <w:color w:val="000000"/>
        </w:rPr>
        <w:t xml:space="preserve">Thông tư </w:t>
      </w:r>
      <w:r w:rsidRPr="00584A76">
        <w:rPr>
          <w:color w:val="333333"/>
        </w:rPr>
        <w:t>số16/2018/TT-BYT</w:t>
      </w:r>
      <w:r w:rsidRPr="00584A76">
        <w:rPr>
          <w:iCs/>
          <w:color w:val="333333"/>
        </w:rPr>
        <w:t>ngày 20 tháng 7 năm 2018 của Bộ trưởng Bộ Y tế q</w:t>
      </w:r>
      <w:r w:rsidRPr="00584A76">
        <w:rPr>
          <w:bCs/>
          <w:color w:val="000000"/>
        </w:rPr>
        <w:t>uy định về kiểm soát nhiễm khuẩn trong các cơ sở khám bệnh, chữa bệnh.</w:t>
      </w:r>
    </w:p>
    <w:p w:rsidR="002F31B1" w:rsidRPr="00756603" w:rsidRDefault="002F31B1" w:rsidP="002F31B1">
      <w:pPr>
        <w:pStyle w:val="ListParagraph"/>
        <w:spacing w:after="120"/>
        <w:ind w:left="0"/>
        <w:jc w:val="both"/>
      </w:pPr>
      <w:r>
        <w:tab/>
        <w:t>-</w:t>
      </w:r>
      <w:r w:rsidRPr="00756603">
        <w:t xml:space="preserve"> Chuẩn năng lực cơ bản của Điều dưỡng Việt Nam (Ban hành kèm </w:t>
      </w:r>
      <w:proofErr w:type="gramStart"/>
      <w:r w:rsidRPr="00756603">
        <w:t>theo</w:t>
      </w:r>
      <w:proofErr w:type="gramEnd"/>
      <w:r w:rsidRPr="00756603">
        <w:t xml:space="preserve"> Quyết định số 1352/QĐ-BYT ngày 21 tháng 4 năm 2012 của Bộ Y tế).</w:t>
      </w:r>
    </w:p>
    <w:p w:rsidR="002F31B1" w:rsidRPr="00691CA1" w:rsidRDefault="002F31B1" w:rsidP="002F31B1">
      <w:pPr>
        <w:pStyle w:val="ListParagraph"/>
        <w:spacing w:before="80"/>
        <w:ind w:left="0"/>
        <w:jc w:val="both"/>
        <w:rPr>
          <w:b/>
        </w:rPr>
      </w:pPr>
      <w:r>
        <w:rPr>
          <w:b/>
        </w:rPr>
        <w:tab/>
        <w:t xml:space="preserve">3.4 </w:t>
      </w:r>
      <w:r w:rsidRPr="00E92373">
        <w:rPr>
          <w:b/>
        </w:rPr>
        <w:t xml:space="preserve">Nội dung, tài liệu cho thí sinh dự thi </w:t>
      </w:r>
      <w:r>
        <w:rPr>
          <w:b/>
        </w:rPr>
        <w:t>kỹ thuật viên</w:t>
      </w:r>
      <w:r w:rsidRPr="00E92373">
        <w:rPr>
          <w:b/>
        </w:rPr>
        <w:t xml:space="preserve"> Hạng III</w:t>
      </w:r>
      <w:r>
        <w:rPr>
          <w:b/>
        </w:rPr>
        <w:t>, IV</w:t>
      </w:r>
      <w:r w:rsidRPr="00E92373">
        <w:rPr>
          <w:b/>
        </w:rPr>
        <w:t>:</w:t>
      </w:r>
    </w:p>
    <w:p w:rsidR="002F31B1" w:rsidRPr="00691CA1" w:rsidRDefault="002F31B1" w:rsidP="002F31B1">
      <w:pPr>
        <w:spacing w:before="80"/>
        <w:ind w:firstLine="720"/>
        <w:jc w:val="both"/>
      </w:pPr>
      <w:r w:rsidRPr="00691CA1">
        <w:t>- Luật Khám bệnh, chữa bệnh số 40/2009/QH12 ngày 23/11/2009.</w:t>
      </w:r>
    </w:p>
    <w:p w:rsidR="002F31B1" w:rsidRPr="00691CA1" w:rsidRDefault="002F31B1" w:rsidP="002F31B1">
      <w:pPr>
        <w:spacing w:before="80"/>
        <w:ind w:firstLine="720"/>
        <w:jc w:val="both"/>
        <w:rPr>
          <w:lang w:val="nl-NL"/>
        </w:rPr>
      </w:pPr>
      <w:r w:rsidRPr="00691CA1">
        <w:t xml:space="preserve">- </w:t>
      </w:r>
      <w:r w:rsidRPr="00691CA1">
        <w:rPr>
          <w:lang w:val="nl-NL"/>
        </w:rPr>
        <w:t>Thông tư số 07/2014/TT-BYT ngày 25/2/2014 của Bộ Y tế Quy định về quy tắc ứng xử của công chức, viên chức, người lao động làm việc tại cơ sở y tế.</w:t>
      </w:r>
    </w:p>
    <w:p w:rsidR="002F31B1" w:rsidRPr="00691CA1" w:rsidRDefault="002F31B1" w:rsidP="002F31B1">
      <w:pPr>
        <w:spacing w:before="80"/>
        <w:ind w:firstLine="720"/>
        <w:jc w:val="both"/>
        <w:rPr>
          <w:lang w:val="nl-NL"/>
        </w:rPr>
      </w:pPr>
      <w:r w:rsidRPr="00691CA1">
        <w:rPr>
          <w:lang w:val="nl-NL"/>
        </w:rPr>
        <w:t xml:space="preserve">- Thông tư 01/2013/TT-BYT ngày 11/012013 của Bộ Y tế Hướng dẫn thực hiện </w:t>
      </w:r>
      <w:r>
        <w:rPr>
          <w:lang w:val="nl-NL"/>
        </w:rPr>
        <w:t>quản lý chất lượng xét nghiệm tại các cơ sở khám bệnh.</w:t>
      </w:r>
    </w:p>
    <w:p w:rsidR="002F31B1" w:rsidRPr="00584A76" w:rsidRDefault="002F31B1" w:rsidP="002F31B1">
      <w:pPr>
        <w:pStyle w:val="ListParagraph"/>
        <w:spacing w:before="80"/>
        <w:ind w:left="0"/>
        <w:jc w:val="both"/>
        <w:rPr>
          <w:b/>
        </w:rPr>
      </w:pPr>
      <w:r>
        <w:rPr>
          <w:b/>
        </w:rPr>
        <w:tab/>
      </w:r>
      <w:proofErr w:type="gramStart"/>
      <w:r>
        <w:rPr>
          <w:b/>
        </w:rPr>
        <w:t xml:space="preserve">3.5  </w:t>
      </w:r>
      <w:r w:rsidRPr="00E92373">
        <w:rPr>
          <w:b/>
        </w:rPr>
        <w:t>Nội</w:t>
      </w:r>
      <w:proofErr w:type="gramEnd"/>
      <w:r w:rsidRPr="00E92373">
        <w:rPr>
          <w:b/>
        </w:rPr>
        <w:t xml:space="preserve"> dung, tài liệu cho thí sinh dự thi </w:t>
      </w:r>
      <w:r>
        <w:rPr>
          <w:b/>
        </w:rPr>
        <w:t>Dược sĩ</w:t>
      </w:r>
      <w:r w:rsidRPr="00E92373">
        <w:rPr>
          <w:b/>
        </w:rPr>
        <w:t xml:space="preserve"> Hạng III</w:t>
      </w:r>
      <w:r>
        <w:rPr>
          <w:b/>
        </w:rPr>
        <w:t>, IV</w:t>
      </w:r>
      <w:r w:rsidRPr="00E92373">
        <w:rPr>
          <w:b/>
        </w:rPr>
        <w:t>:</w:t>
      </w:r>
    </w:p>
    <w:p w:rsidR="002F31B1" w:rsidRPr="002911CB" w:rsidRDefault="002F31B1" w:rsidP="002F31B1">
      <w:pPr>
        <w:jc w:val="both"/>
      </w:pPr>
      <w:r>
        <w:tab/>
        <w:t xml:space="preserve">- </w:t>
      </w:r>
      <w:r w:rsidRPr="002911CB">
        <w:t>Thông tư số 22/2011/TT-BYT</w:t>
      </w:r>
      <w:r w:rsidRPr="002911CB">
        <w:rPr>
          <w:shd w:val="clear" w:color="auto" w:fill="FFFFFF"/>
        </w:rPr>
        <w:t xml:space="preserve"> ngày 10/6/2011</w:t>
      </w:r>
      <w:r w:rsidRPr="002911CB">
        <w:t xml:space="preserve"> của Bộ Y tế vềquy định về tổ chức và ho</w:t>
      </w:r>
      <w:r>
        <w:t>ạt động của khoa Dược bệnh viện.</w:t>
      </w:r>
    </w:p>
    <w:p w:rsidR="002F31B1" w:rsidRPr="002911CB" w:rsidRDefault="002F31B1" w:rsidP="002F31B1">
      <w:pPr>
        <w:jc w:val="both"/>
      </w:pPr>
      <w:r>
        <w:rPr>
          <w:spacing w:val="-2"/>
        </w:rPr>
        <w:tab/>
        <w:t xml:space="preserve">- </w:t>
      </w:r>
      <w:r w:rsidRPr="002911CB">
        <w:rPr>
          <w:spacing w:val="-2"/>
        </w:rPr>
        <w:t>Thông tư số 23/2011/TT-BYT ngày 10/6/2011 của Bộ Y tế</w:t>
      </w:r>
      <w:r>
        <w:rPr>
          <w:spacing w:val="-2"/>
        </w:rPr>
        <w:t xml:space="preserve"> </w:t>
      </w:r>
      <w:r w:rsidRPr="002911CB">
        <w:rPr>
          <w:spacing w:val="-2"/>
        </w:rPr>
        <w:t>về hướng dẫn sử dụng thuốc tại các cơ sở y tế có giường bệnh</w:t>
      </w:r>
      <w:r>
        <w:rPr>
          <w:spacing w:val="-2"/>
        </w:rPr>
        <w:t>.</w:t>
      </w:r>
    </w:p>
    <w:p w:rsidR="002F31B1" w:rsidRPr="002911CB" w:rsidRDefault="002F31B1" w:rsidP="002F31B1">
      <w:pPr>
        <w:jc w:val="both"/>
      </w:pPr>
      <w:r>
        <w:rPr>
          <w:spacing w:val="-2"/>
          <w:shd w:val="clear" w:color="auto" w:fill="FFFFFF"/>
        </w:rPr>
        <w:lastRenderedPageBreak/>
        <w:tab/>
        <w:t xml:space="preserve">- </w:t>
      </w:r>
      <w:r w:rsidRPr="002911CB">
        <w:rPr>
          <w:spacing w:val="-2"/>
          <w:shd w:val="clear" w:color="auto" w:fill="FFFFFF"/>
        </w:rPr>
        <w:t xml:space="preserve">Thông tư số </w:t>
      </w:r>
      <w:r w:rsidRPr="002911CB">
        <w:t>21/TT-BYT ngày 08/8/2013</w:t>
      </w:r>
      <w:r w:rsidRPr="002911CB">
        <w:rPr>
          <w:i/>
        </w:rPr>
        <w:t xml:space="preserve"> </w:t>
      </w:r>
      <w:r w:rsidRPr="002911CB">
        <w:rPr>
          <w:spacing w:val="-2"/>
          <w:shd w:val="clear" w:color="auto" w:fill="FFFFFF"/>
        </w:rPr>
        <w:t xml:space="preserve">của Bộ Y tế về </w:t>
      </w:r>
      <w:r w:rsidRPr="002911CB">
        <w:rPr>
          <w:lang w:val="fr-FR"/>
        </w:rPr>
        <w:t>Quy định về tổ chức và hoạt động của Hội đồng Th</w:t>
      </w:r>
      <w:r>
        <w:rPr>
          <w:lang w:val="fr-FR"/>
        </w:rPr>
        <w:t>uốc và điều trị trong bệnh viện.</w:t>
      </w:r>
    </w:p>
    <w:p w:rsidR="002F31B1" w:rsidRDefault="002F31B1" w:rsidP="002F31B1">
      <w:pPr>
        <w:jc w:val="both"/>
      </w:pPr>
      <w:r>
        <w:tab/>
      </w:r>
    </w:p>
    <w:p w:rsidR="002F31B1" w:rsidRDefault="002F31B1" w:rsidP="002F31B1">
      <w:pPr>
        <w:jc w:val="both"/>
      </w:pPr>
    </w:p>
    <w:p w:rsidR="002F31B1" w:rsidRPr="002911CB" w:rsidRDefault="002F31B1" w:rsidP="002F31B1">
      <w:pPr>
        <w:ind w:firstLine="720"/>
        <w:jc w:val="both"/>
      </w:pPr>
      <w:r>
        <w:t xml:space="preserve">-  </w:t>
      </w:r>
      <w:r w:rsidRPr="002911CB">
        <w:t xml:space="preserve">Thông tư </w:t>
      </w:r>
      <w:r w:rsidRPr="002911CB">
        <w:rPr>
          <w:spacing w:val="-2"/>
          <w:shd w:val="clear" w:color="auto" w:fill="FFFFFF"/>
        </w:rPr>
        <w:t xml:space="preserve">số </w:t>
      </w:r>
      <w:r w:rsidRPr="002911CB">
        <w:t xml:space="preserve">52/2017/TT-BYT </w:t>
      </w:r>
      <w:r w:rsidRPr="002911CB">
        <w:rPr>
          <w:spacing w:val="-2"/>
          <w:shd w:val="clear" w:color="auto" w:fill="FFFFFF"/>
        </w:rPr>
        <w:t>ngày 29/12/2017 của Bộ Y tế về Quy định về đơn thuốc và việc kê đơn thuốc hóa dược, sinh phẩm trong điều trị ngoại trú</w:t>
      </w:r>
      <w:r>
        <w:rPr>
          <w:spacing w:val="-2"/>
          <w:shd w:val="clear" w:color="auto" w:fill="FFFFFF"/>
        </w:rPr>
        <w:t>.</w:t>
      </w:r>
    </w:p>
    <w:p w:rsidR="002F31B1" w:rsidRPr="001106AF" w:rsidRDefault="002F31B1" w:rsidP="002F31B1">
      <w:pPr>
        <w:jc w:val="both"/>
      </w:pPr>
      <w:r>
        <w:tab/>
        <w:t xml:space="preserve">- </w:t>
      </w:r>
      <w:r w:rsidRPr="002911CB">
        <w:t>Quyết định số 708/QĐ-BYT ngày 02/03/2015 của Bộ Y tế về “Hướng dẫn sử dụng kháng sinh”.</w:t>
      </w:r>
    </w:p>
    <w:p w:rsidR="002F31B1" w:rsidRPr="00FC0AA0" w:rsidRDefault="002F31B1" w:rsidP="002F31B1">
      <w:pPr>
        <w:jc w:val="both"/>
        <w:rPr>
          <w:b/>
        </w:rPr>
      </w:pPr>
      <w:r>
        <w:tab/>
        <w:t>- T</w:t>
      </w:r>
      <w:r w:rsidRPr="00FC0AA0">
        <w:t xml:space="preserve">hông tư số </w:t>
      </w:r>
      <w:r w:rsidRPr="00FC0AA0">
        <w:rPr>
          <w:lang w:val="fr-FR"/>
        </w:rPr>
        <w:t>31/2012/TT-BYT ngày 20 tháng 12 năm 2012 của Bộ Y tế về Hướng dẫn hoạt động dược lâm sàng trong bệnh viện</w:t>
      </w:r>
      <w:r>
        <w:rPr>
          <w:lang w:val="fr-FR"/>
        </w:rPr>
        <w:t>.</w:t>
      </w:r>
    </w:p>
    <w:p w:rsidR="002F31B1" w:rsidRPr="00584A76" w:rsidRDefault="002F31B1" w:rsidP="002F31B1">
      <w:pPr>
        <w:pStyle w:val="ListParagraph"/>
        <w:spacing w:before="80"/>
        <w:ind w:left="0"/>
        <w:jc w:val="both"/>
        <w:rPr>
          <w:b/>
        </w:rPr>
      </w:pPr>
      <w:r>
        <w:rPr>
          <w:b/>
        </w:rPr>
        <w:tab/>
      </w:r>
      <w:proofErr w:type="gramStart"/>
      <w:r>
        <w:rPr>
          <w:b/>
        </w:rPr>
        <w:t xml:space="preserve">3.6  </w:t>
      </w:r>
      <w:r w:rsidRPr="00E92373">
        <w:rPr>
          <w:b/>
        </w:rPr>
        <w:t>Nội</w:t>
      </w:r>
      <w:proofErr w:type="gramEnd"/>
      <w:r w:rsidRPr="00E92373">
        <w:rPr>
          <w:b/>
        </w:rPr>
        <w:t xml:space="preserve"> dung, tài liệu cho thí sinh dự thi </w:t>
      </w:r>
      <w:r>
        <w:rPr>
          <w:b/>
        </w:rPr>
        <w:t>Kế toán viên (06.031) và (06a.031)</w:t>
      </w:r>
    </w:p>
    <w:p w:rsidR="002F31B1" w:rsidRDefault="002F31B1" w:rsidP="002F31B1">
      <w:pPr>
        <w:jc w:val="both"/>
        <w:rPr>
          <w:iCs/>
        </w:rPr>
      </w:pPr>
      <w:r>
        <w:rPr>
          <w:iCs/>
        </w:rPr>
        <w:tab/>
        <w:t>- Chương I Luật kế toán số 88/2015/QH13 ngày 20/11/2015.</w:t>
      </w:r>
    </w:p>
    <w:p w:rsidR="002F31B1" w:rsidRDefault="002F31B1" w:rsidP="002F31B1">
      <w:pPr>
        <w:jc w:val="both"/>
        <w:rPr>
          <w:iCs/>
        </w:rPr>
      </w:pPr>
      <w:r>
        <w:rPr>
          <w:iCs/>
        </w:rPr>
        <w:tab/>
        <w:t>- Từ mục 1 đến mục 4 chương II Luật kế toán số 88/2015/QH13 ngày 20/11/2015.</w:t>
      </w:r>
    </w:p>
    <w:p w:rsidR="002F31B1" w:rsidRDefault="002F31B1" w:rsidP="002F31B1">
      <w:pPr>
        <w:jc w:val="both"/>
        <w:rPr>
          <w:iCs/>
        </w:rPr>
      </w:pPr>
      <w:r>
        <w:rPr>
          <w:iCs/>
        </w:rPr>
        <w:tab/>
        <w:t xml:space="preserve">- Chế độ kế toán hành chính sự nghiệp </w:t>
      </w:r>
      <w:proofErr w:type="gramStart"/>
      <w:r>
        <w:rPr>
          <w:iCs/>
        </w:rPr>
        <w:t>theo</w:t>
      </w:r>
      <w:proofErr w:type="gramEnd"/>
      <w:r>
        <w:rPr>
          <w:iCs/>
        </w:rPr>
        <w:t xml:space="preserve"> Thông tư 107/2017/TT – BTC ngày 10/10/2017.</w:t>
      </w:r>
    </w:p>
    <w:p w:rsidR="002F31B1" w:rsidRDefault="002F31B1" w:rsidP="002F31B1">
      <w:pPr>
        <w:jc w:val="both"/>
        <w:rPr>
          <w:iCs/>
        </w:rPr>
      </w:pPr>
      <w:r>
        <w:rPr>
          <w:iCs/>
        </w:rPr>
        <w:tab/>
        <w:t xml:space="preserve">- </w:t>
      </w:r>
      <w:r w:rsidRPr="00630C95">
        <w:rPr>
          <w:iCs/>
        </w:rPr>
        <w:t>Nghị định 16/2015/NĐ – CP ngày 14/2/2015 của Chính Phủ.</w:t>
      </w:r>
    </w:p>
    <w:p w:rsidR="002F31B1" w:rsidRDefault="002F31B1" w:rsidP="002F31B1">
      <w:pPr>
        <w:jc w:val="both"/>
        <w:rPr>
          <w:b/>
          <w:iCs/>
        </w:rPr>
      </w:pPr>
      <w:r w:rsidRPr="00962322">
        <w:rPr>
          <w:b/>
          <w:iCs/>
        </w:rPr>
        <w:t xml:space="preserve">          3.7 Nội dung, tài liệu cho thí sinh dự thi chuyên viên, cán sự (01.003) và (01.004)</w:t>
      </w:r>
      <w:r>
        <w:rPr>
          <w:b/>
          <w:iCs/>
        </w:rPr>
        <w:t>.</w:t>
      </w:r>
    </w:p>
    <w:p w:rsidR="002F31B1" w:rsidRDefault="002F31B1" w:rsidP="002F31B1">
      <w:pPr>
        <w:jc w:val="both"/>
        <w:rPr>
          <w:iCs/>
        </w:rPr>
      </w:pPr>
      <w:r>
        <w:rPr>
          <w:b/>
          <w:iCs/>
        </w:rPr>
        <w:t xml:space="preserve">           - </w:t>
      </w:r>
      <w:r w:rsidRPr="00D736AA">
        <w:rPr>
          <w:iCs/>
        </w:rPr>
        <w:t>Thông tư số 01/2011/TT-BNV ngày 19/01/2011 của Bộ Nội vụ Hướng dẫn thể thức và kỹ thuật trình bầy văn bản hành chính.</w:t>
      </w:r>
    </w:p>
    <w:p w:rsidR="002F31B1" w:rsidRDefault="002F31B1" w:rsidP="002F31B1">
      <w:pPr>
        <w:jc w:val="both"/>
        <w:rPr>
          <w:iCs/>
        </w:rPr>
      </w:pPr>
      <w:r>
        <w:rPr>
          <w:iCs/>
        </w:rPr>
        <w:t xml:space="preserve">           - Thông tư số 11/2014/TT-BNV ngày 9/10/2014 quy định chức danh mã số ngạch và tieu chuẩn nghiệp vụ chuyên môn các ngchj công chức chuyên ngành hành chính.</w:t>
      </w:r>
    </w:p>
    <w:p w:rsidR="002F31B1" w:rsidRPr="00B120F0" w:rsidRDefault="002F31B1" w:rsidP="002F31B1">
      <w:pPr>
        <w:jc w:val="both"/>
        <w:rPr>
          <w:iCs/>
        </w:rPr>
      </w:pPr>
      <w:r>
        <w:rPr>
          <w:iCs/>
        </w:rPr>
        <w:t xml:space="preserve">           - Thông tư 05/2017/TT-BNV về sữa đổi bổ sung một số điều của thông tư số 11/2014/TT-BNV và thông tư số 13/2010/TT-BNV ngày 30/10/2010 của Bộ trưởng Bộ Nội vụ về tiêu chuẩn nghiệp vụ chuyên môn, bổ nhiệm ngạch và xếp lương đối với các ngạch công chức chuyên ngành hành chính và việc tổ chức thi nâng ngạch công chức.</w:t>
      </w:r>
    </w:p>
    <w:p w:rsidR="002F31B1" w:rsidRDefault="002F31B1" w:rsidP="002F31B1">
      <w:pPr>
        <w:spacing w:before="80"/>
        <w:ind w:firstLine="720"/>
        <w:jc w:val="both"/>
      </w:pPr>
      <w:r w:rsidRPr="00630C95">
        <w:t>Hội đồng xét tuyển thông báo nội dung trên để các thí sinh tham dự xét tuyển biết và ôn tập</w:t>
      </w:r>
      <w:proofErr w:type="gramStart"/>
      <w:r w:rsidRPr="00630C95">
        <w:t>./</w:t>
      </w:r>
      <w:proofErr w:type="gramEnd"/>
      <w:r w:rsidRPr="00630C95">
        <w:t>.</w:t>
      </w:r>
    </w:p>
    <w:p w:rsidR="002F31B1" w:rsidRPr="00630C95" w:rsidRDefault="002F31B1" w:rsidP="002F31B1">
      <w:pPr>
        <w:spacing w:before="80"/>
        <w:ind w:firstLine="72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2F31B1" w:rsidRPr="005A619B" w:rsidTr="00DC1DEF">
        <w:tc>
          <w:tcPr>
            <w:tcW w:w="3828" w:type="dxa"/>
            <w:tcBorders>
              <w:top w:val="nil"/>
              <w:left w:val="nil"/>
              <w:bottom w:val="nil"/>
              <w:right w:val="nil"/>
            </w:tcBorders>
          </w:tcPr>
          <w:p w:rsidR="002F31B1" w:rsidRPr="003476A8" w:rsidRDefault="002F31B1" w:rsidP="00DC1DEF">
            <w:pPr>
              <w:rPr>
                <w:b/>
                <w:bCs/>
                <w:i/>
                <w:iCs/>
                <w:sz w:val="24"/>
                <w:szCs w:val="24"/>
                <w:lang w:val="sv-SE"/>
              </w:rPr>
            </w:pPr>
            <w:r w:rsidRPr="003476A8">
              <w:rPr>
                <w:b/>
                <w:bCs/>
                <w:i/>
                <w:iCs/>
                <w:sz w:val="24"/>
                <w:szCs w:val="24"/>
                <w:lang w:val="sv-SE"/>
              </w:rPr>
              <w:t>Nơi nhận:</w:t>
            </w:r>
          </w:p>
          <w:p w:rsidR="002F31B1" w:rsidRDefault="002F31B1" w:rsidP="00DC1DEF">
            <w:pPr>
              <w:ind w:left="360" w:hanging="184"/>
              <w:jc w:val="both"/>
              <w:rPr>
                <w:sz w:val="22"/>
                <w:szCs w:val="22"/>
              </w:rPr>
            </w:pPr>
            <w:r w:rsidRPr="00013DAE">
              <w:rPr>
                <w:sz w:val="24"/>
                <w:szCs w:val="24"/>
                <w:lang w:val="vi-VN"/>
              </w:rPr>
              <w:t>-</w:t>
            </w:r>
            <w:r w:rsidRPr="00411B25">
              <w:rPr>
                <w:sz w:val="24"/>
                <w:szCs w:val="24"/>
                <w:lang w:val="vi-VN"/>
              </w:rPr>
              <w:t xml:space="preserve"> </w:t>
            </w:r>
            <w:r>
              <w:rPr>
                <w:sz w:val="22"/>
                <w:szCs w:val="22"/>
              </w:rPr>
              <w:t>Các thí sinh tham gia dự tuyển;</w:t>
            </w:r>
          </w:p>
          <w:p w:rsidR="002F31B1" w:rsidRDefault="002F31B1" w:rsidP="00DC1DEF">
            <w:pPr>
              <w:ind w:left="360" w:hanging="184"/>
              <w:jc w:val="both"/>
              <w:rPr>
                <w:sz w:val="22"/>
                <w:szCs w:val="22"/>
              </w:rPr>
            </w:pPr>
            <w:r>
              <w:rPr>
                <w:sz w:val="22"/>
                <w:szCs w:val="22"/>
              </w:rPr>
              <w:t>- Các thành viên hội đồng xét tuyển</w:t>
            </w:r>
          </w:p>
          <w:p w:rsidR="002F31B1" w:rsidRPr="00037C13" w:rsidRDefault="002F31B1" w:rsidP="00DC1DEF">
            <w:pPr>
              <w:ind w:left="360" w:hanging="184"/>
              <w:jc w:val="both"/>
              <w:rPr>
                <w:sz w:val="22"/>
                <w:szCs w:val="22"/>
              </w:rPr>
            </w:pPr>
            <w:r w:rsidRPr="00013DAE">
              <w:rPr>
                <w:sz w:val="22"/>
                <w:szCs w:val="22"/>
                <w:lang w:val="vi-VN"/>
              </w:rPr>
              <w:t>-</w:t>
            </w:r>
            <w:r>
              <w:rPr>
                <w:sz w:val="22"/>
                <w:szCs w:val="22"/>
              </w:rPr>
              <w:t xml:space="preserve"> </w:t>
            </w:r>
            <w:r w:rsidRPr="00013DAE">
              <w:rPr>
                <w:sz w:val="22"/>
                <w:szCs w:val="22"/>
                <w:lang w:val="vi-VN"/>
              </w:rPr>
              <w:t>Lưu</w:t>
            </w:r>
            <w:r w:rsidRPr="001E6643">
              <w:rPr>
                <w:sz w:val="22"/>
                <w:szCs w:val="22"/>
                <w:lang w:val="vi-VN"/>
              </w:rPr>
              <w:t>:</w:t>
            </w:r>
            <w:r w:rsidRPr="00013DAE">
              <w:rPr>
                <w:sz w:val="22"/>
                <w:szCs w:val="22"/>
                <w:lang w:val="vi-VN"/>
              </w:rPr>
              <w:t xml:space="preserve"> </w:t>
            </w:r>
            <w:r>
              <w:rPr>
                <w:sz w:val="22"/>
                <w:szCs w:val="22"/>
              </w:rPr>
              <w:t>VT, HĐXT.</w:t>
            </w:r>
          </w:p>
        </w:tc>
        <w:tc>
          <w:tcPr>
            <w:tcW w:w="5528" w:type="dxa"/>
            <w:tcBorders>
              <w:top w:val="nil"/>
              <w:left w:val="nil"/>
              <w:bottom w:val="nil"/>
              <w:right w:val="nil"/>
            </w:tcBorders>
          </w:tcPr>
          <w:p w:rsidR="002F31B1" w:rsidRPr="00EF76F8" w:rsidRDefault="002F31B1" w:rsidP="00DC1DEF">
            <w:pPr>
              <w:ind w:left="-392" w:firstLine="392"/>
              <w:jc w:val="center"/>
              <w:rPr>
                <w:b/>
              </w:rPr>
            </w:pPr>
            <w:r>
              <w:rPr>
                <w:b/>
                <w:bCs/>
              </w:rPr>
              <w:t>CHỦ TỊCH HỘI ĐỒNG XÉT TUYỂN</w:t>
            </w:r>
          </w:p>
          <w:p w:rsidR="002F31B1" w:rsidRPr="00EF76F8" w:rsidRDefault="002F31B1" w:rsidP="00DC1DEF">
            <w:pPr>
              <w:jc w:val="center"/>
              <w:rPr>
                <w:b/>
              </w:rPr>
            </w:pPr>
          </w:p>
          <w:p w:rsidR="002F31B1" w:rsidRPr="00EF76F8" w:rsidRDefault="002F31B1" w:rsidP="00DC1DEF">
            <w:pPr>
              <w:jc w:val="center"/>
              <w:rPr>
                <w:b/>
              </w:rPr>
            </w:pPr>
          </w:p>
          <w:p w:rsidR="002F31B1" w:rsidRDefault="002F31B1" w:rsidP="00DC1DEF">
            <w:pPr>
              <w:jc w:val="center"/>
              <w:rPr>
                <w:b/>
              </w:rPr>
            </w:pPr>
          </w:p>
          <w:p w:rsidR="002F31B1" w:rsidRDefault="002F31B1" w:rsidP="00DC1DEF">
            <w:pPr>
              <w:jc w:val="center"/>
              <w:rPr>
                <w:b/>
              </w:rPr>
            </w:pPr>
          </w:p>
          <w:p w:rsidR="002F31B1" w:rsidRDefault="002F31B1" w:rsidP="00DC1DEF">
            <w:pPr>
              <w:jc w:val="center"/>
              <w:rPr>
                <w:b/>
              </w:rPr>
            </w:pPr>
          </w:p>
          <w:p w:rsidR="002F31B1" w:rsidRDefault="002F31B1" w:rsidP="00DC1DEF">
            <w:pPr>
              <w:jc w:val="center"/>
              <w:rPr>
                <w:b/>
              </w:rPr>
            </w:pPr>
          </w:p>
          <w:p w:rsidR="002F31B1" w:rsidRPr="00EF76F8" w:rsidRDefault="002F31B1" w:rsidP="00DC1DEF">
            <w:pPr>
              <w:jc w:val="center"/>
              <w:rPr>
                <w:b/>
              </w:rPr>
            </w:pPr>
            <w:r>
              <w:rPr>
                <w:b/>
              </w:rPr>
              <w:t>GIÁM ĐỐC</w:t>
            </w:r>
          </w:p>
          <w:p w:rsidR="002F31B1" w:rsidRPr="00411B25" w:rsidRDefault="002F31B1" w:rsidP="00DC1DEF">
            <w:pPr>
              <w:ind w:left="360" w:hanging="360"/>
              <w:jc w:val="center"/>
              <w:rPr>
                <w:sz w:val="22"/>
                <w:szCs w:val="22"/>
              </w:rPr>
            </w:pPr>
            <w:r>
              <w:rPr>
                <w:b/>
                <w:bCs/>
              </w:rPr>
              <w:t>Hà Khánh Dư</w:t>
            </w:r>
          </w:p>
          <w:p w:rsidR="002F31B1" w:rsidRPr="005A619B" w:rsidRDefault="002F31B1" w:rsidP="00DC1DEF">
            <w:pPr>
              <w:jc w:val="center"/>
              <w:rPr>
                <w:b/>
                <w:bCs/>
              </w:rPr>
            </w:pPr>
          </w:p>
        </w:tc>
      </w:tr>
    </w:tbl>
    <w:p w:rsidR="00660606" w:rsidRDefault="00660606"/>
    <w:sectPr w:rsidR="00660606" w:rsidSect="002F31B1">
      <w:pgSz w:w="12240" w:h="15840" w:code="1"/>
      <w:pgMar w:top="851" w:right="102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D0A23"/>
    <w:multiLevelType w:val="hybridMultilevel"/>
    <w:tmpl w:val="80A23B68"/>
    <w:lvl w:ilvl="0" w:tplc="D2521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1"/>
    <w:rsid w:val="002C0716"/>
    <w:rsid w:val="002E4928"/>
    <w:rsid w:val="002F31B1"/>
    <w:rsid w:val="00404E85"/>
    <w:rsid w:val="005F7C37"/>
    <w:rsid w:val="00660606"/>
    <w:rsid w:val="008E551D"/>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34369-2C05-48F5-9188-54178AE7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B1"/>
    <w:rPr>
      <w:sz w:val="28"/>
      <w:szCs w:val="28"/>
    </w:rPr>
  </w:style>
  <w:style w:type="paragraph" w:styleId="Heading4">
    <w:name w:val="heading 4"/>
    <w:basedOn w:val="Normal"/>
    <w:next w:val="Normal"/>
    <w:link w:val="Heading4Char"/>
    <w:qFormat/>
    <w:rsid w:val="002F31B1"/>
    <w:pPr>
      <w:keepNext/>
      <w:jc w:val="center"/>
      <w:outlineLvl w:val="3"/>
    </w:pPr>
    <w:rPr>
      <w:rFonts w:ascii=".VnTimeH" w:hAnsi=".VnTimeH"/>
      <w:b/>
      <w:color w:val="0000FF"/>
      <w:sz w:val="24"/>
      <w:szCs w:val="26"/>
    </w:rPr>
  </w:style>
  <w:style w:type="paragraph" w:styleId="Heading5">
    <w:name w:val="heading 5"/>
    <w:basedOn w:val="Normal"/>
    <w:next w:val="Normal"/>
    <w:link w:val="Heading5Char"/>
    <w:qFormat/>
    <w:rsid w:val="002F31B1"/>
    <w:pPr>
      <w:keepNext/>
      <w:jc w:val="center"/>
      <w:outlineLvl w:val="4"/>
    </w:pPr>
    <w:rPr>
      <w:rFonts w:ascii=".VnAvantH" w:hAnsi=".VnAvant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31B1"/>
    <w:rPr>
      <w:rFonts w:ascii=".VnTimeH" w:hAnsi=".VnTimeH"/>
      <w:b/>
      <w:color w:val="0000FF"/>
      <w:sz w:val="24"/>
      <w:szCs w:val="26"/>
    </w:rPr>
  </w:style>
  <w:style w:type="character" w:customStyle="1" w:styleId="Heading5Char">
    <w:name w:val="Heading 5 Char"/>
    <w:basedOn w:val="DefaultParagraphFont"/>
    <w:link w:val="Heading5"/>
    <w:rsid w:val="002F31B1"/>
    <w:rPr>
      <w:rFonts w:ascii=".VnAvantH" w:hAnsi=".VnAvantH"/>
      <w:b/>
      <w:bCs/>
      <w:sz w:val="24"/>
      <w:szCs w:val="24"/>
    </w:rPr>
  </w:style>
  <w:style w:type="paragraph" w:styleId="ListParagraph">
    <w:name w:val="List Paragraph"/>
    <w:basedOn w:val="Normal"/>
    <w:uiPriority w:val="34"/>
    <w:qFormat/>
    <w:rsid w:val="002F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2019-10-25T08:38:00Z</dcterms:created>
  <dcterms:modified xsi:type="dcterms:W3CDTF">2019-10-25T09:03:00Z</dcterms:modified>
</cp:coreProperties>
</file>